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w:t>
      </w:r>
      <w:r w:rsidR="002432D9">
        <w:rPr>
          <w:rFonts w:ascii="Arial" w:hAnsi="Arial" w:cs="Arial"/>
          <w:b/>
          <w:noProof/>
          <w:sz w:val="24"/>
          <w:szCs w:val="24"/>
        </w:rPr>
        <w:t>9</w:t>
      </w:r>
      <w:r w:rsidR="00DA5B09">
        <w:rPr>
          <w:rFonts w:ascii="Arial" w:hAnsi="Arial" w:cs="Arial"/>
          <w:b/>
          <w:noProof/>
          <w:sz w:val="24"/>
          <w:szCs w:val="24"/>
        </w:rPr>
        <w:t>1</w:t>
      </w:r>
      <w:r w:rsidR="00994E5F" w:rsidRPr="004B7E17">
        <w:rPr>
          <w:rFonts w:ascii="Arial" w:hAnsi="Arial" w:cs="Arial"/>
          <w:b/>
          <w:noProof/>
          <w:sz w:val="24"/>
          <w:szCs w:val="24"/>
        </w:rPr>
        <w:tab/>
      </w:r>
      <w:r w:rsidR="00802049">
        <w:rPr>
          <w:rFonts w:ascii="Arial" w:hAnsi="Arial" w:cs="Arial"/>
          <w:b/>
          <w:bCs/>
          <w:color w:val="808080"/>
          <w:sz w:val="26"/>
          <w:szCs w:val="26"/>
        </w:rPr>
        <w:t>R4-1</w:t>
      </w:r>
      <w:r w:rsidR="00654EC3">
        <w:rPr>
          <w:rFonts w:ascii="Arial" w:hAnsi="Arial" w:cs="Arial"/>
          <w:b/>
          <w:bCs/>
          <w:color w:val="808080"/>
          <w:sz w:val="26"/>
          <w:szCs w:val="26"/>
        </w:rPr>
        <w:t>90</w:t>
      </w:r>
      <w:r w:rsidR="00E71595">
        <w:rPr>
          <w:rFonts w:ascii="Arial" w:hAnsi="Arial" w:cs="Arial"/>
          <w:b/>
          <w:bCs/>
          <w:color w:val="808080"/>
          <w:sz w:val="26"/>
          <w:szCs w:val="26"/>
        </w:rPr>
        <w:t>6986</w:t>
      </w:r>
    </w:p>
    <w:p w:rsidR="00994E5F" w:rsidRDefault="00DA5B09" w:rsidP="00994E5F">
      <w:pPr>
        <w:pStyle w:val="Footer"/>
        <w:jc w:val="both"/>
        <w:rPr>
          <w:i w:val="0"/>
          <w:noProof w:val="0"/>
          <w:sz w:val="24"/>
          <w:szCs w:val="24"/>
          <w:lang w:eastAsia="ja-JP"/>
        </w:rPr>
      </w:pPr>
      <w:r>
        <w:rPr>
          <w:rFonts w:eastAsia="SimSun"/>
          <w:i w:val="0"/>
          <w:noProof w:val="0"/>
          <w:sz w:val="24"/>
          <w:szCs w:val="24"/>
        </w:rPr>
        <w:t>Reno</w:t>
      </w:r>
      <w:r w:rsidR="00654B98">
        <w:rPr>
          <w:rFonts w:eastAsia="SimSun"/>
          <w:i w:val="0"/>
          <w:noProof w:val="0"/>
          <w:sz w:val="24"/>
          <w:szCs w:val="24"/>
        </w:rPr>
        <w:t xml:space="preserve">, </w:t>
      </w:r>
      <w:r>
        <w:rPr>
          <w:rFonts w:eastAsia="SimSun"/>
          <w:i w:val="0"/>
          <w:noProof w:val="0"/>
          <w:sz w:val="24"/>
          <w:szCs w:val="24"/>
        </w:rPr>
        <w:t>USA</w:t>
      </w:r>
      <w:r w:rsidR="00994E5F">
        <w:rPr>
          <w:rFonts w:eastAsia="SimSun"/>
          <w:i w:val="0"/>
          <w:noProof w:val="0"/>
          <w:sz w:val="24"/>
          <w:szCs w:val="24"/>
        </w:rPr>
        <w:t xml:space="preserve">, </w:t>
      </w:r>
      <w:r>
        <w:rPr>
          <w:rFonts w:eastAsia="SimSun"/>
          <w:i w:val="0"/>
          <w:noProof w:val="0"/>
          <w:sz w:val="24"/>
          <w:szCs w:val="24"/>
        </w:rPr>
        <w:t>May</w:t>
      </w:r>
      <w:r w:rsidR="007A1FD4">
        <w:rPr>
          <w:i w:val="0"/>
          <w:noProof w:val="0"/>
          <w:sz w:val="24"/>
          <w:szCs w:val="24"/>
          <w:lang w:eastAsia="ja-JP"/>
        </w:rPr>
        <w:t xml:space="preserve"> </w:t>
      </w:r>
      <w:r>
        <w:rPr>
          <w:i w:val="0"/>
          <w:noProof w:val="0"/>
          <w:sz w:val="24"/>
          <w:szCs w:val="24"/>
          <w:lang w:eastAsia="ja-JP"/>
        </w:rPr>
        <w:t>13</w:t>
      </w:r>
      <w:r w:rsidR="007A1FD4" w:rsidRPr="007A1FD4">
        <w:rPr>
          <w:i w:val="0"/>
          <w:noProof w:val="0"/>
          <w:sz w:val="24"/>
          <w:szCs w:val="24"/>
          <w:vertAlign w:val="superscript"/>
          <w:lang w:eastAsia="ja-JP"/>
        </w:rPr>
        <w:t>th</w:t>
      </w:r>
      <w:r w:rsidR="00654B98">
        <w:rPr>
          <w:i w:val="0"/>
          <w:noProof w:val="0"/>
          <w:sz w:val="24"/>
          <w:szCs w:val="24"/>
          <w:vertAlign w:val="superscript"/>
          <w:lang w:eastAsia="ja-JP"/>
        </w:rPr>
        <w:t xml:space="preserve"> </w:t>
      </w:r>
      <w:r w:rsidR="00654B98" w:rsidRPr="00654B98">
        <w:rPr>
          <w:i w:val="0"/>
          <w:noProof w:val="0"/>
          <w:sz w:val="24"/>
          <w:szCs w:val="24"/>
          <w:lang w:eastAsia="ja-JP"/>
        </w:rPr>
        <w:t xml:space="preserve">– </w:t>
      </w:r>
      <w:r w:rsidR="00F541B7">
        <w:rPr>
          <w:i w:val="0"/>
          <w:noProof w:val="0"/>
          <w:sz w:val="24"/>
          <w:szCs w:val="24"/>
          <w:lang w:eastAsia="ja-JP"/>
        </w:rPr>
        <w:t>1</w:t>
      </w:r>
      <w:r>
        <w:rPr>
          <w:i w:val="0"/>
          <w:noProof w:val="0"/>
          <w:sz w:val="24"/>
          <w:szCs w:val="24"/>
          <w:lang w:eastAsia="ja-JP"/>
        </w:rPr>
        <w:t>7</w:t>
      </w:r>
      <w:r w:rsidR="00F541B7" w:rsidRPr="00F541B7">
        <w:rPr>
          <w:i w:val="0"/>
          <w:noProof w:val="0"/>
          <w:sz w:val="24"/>
          <w:szCs w:val="24"/>
          <w:vertAlign w:val="superscript"/>
          <w:lang w:eastAsia="ja-JP"/>
        </w:rPr>
        <w:t>th</w:t>
      </w:r>
      <w:r w:rsidR="00F541B7">
        <w:rPr>
          <w:i w:val="0"/>
          <w:noProof w:val="0"/>
          <w:sz w:val="24"/>
          <w:szCs w:val="24"/>
          <w:lang w:eastAsia="ja-JP"/>
        </w:rPr>
        <w:t>, 2019</w:t>
      </w:r>
      <w:r w:rsidR="002432D9">
        <w:rPr>
          <w:i w:val="0"/>
          <w:noProof w:val="0"/>
          <w:sz w:val="24"/>
          <w:szCs w:val="24"/>
          <w:lang w:eastAsia="ja-JP"/>
        </w:rPr>
        <w:t xml:space="preserve"> </w:t>
      </w:r>
      <w:r w:rsidR="00654B98">
        <w:rPr>
          <w:i w:val="0"/>
          <w:noProof w:val="0"/>
          <w:sz w:val="24"/>
          <w:szCs w:val="24"/>
          <w:lang w:eastAsia="ja-JP"/>
        </w:rPr>
        <w:t xml:space="preserve"> </w:t>
      </w:r>
      <w:r w:rsidR="00654B98" w:rsidRPr="00654B98">
        <w:rPr>
          <w:i w:val="0"/>
          <w:noProof w:val="0"/>
          <w:sz w:val="24"/>
          <w:szCs w:val="24"/>
          <w:lang w:eastAsia="ja-JP"/>
        </w:rPr>
        <w:t xml:space="preserve"> </w:t>
      </w:r>
      <w:r w:rsidR="007A1FD4">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DA5B09" w:rsidRPr="00DA5B09">
        <w:rPr>
          <w:rFonts w:ascii="Arial" w:hAnsi="Arial"/>
          <w:b/>
          <w:sz w:val="24"/>
        </w:rPr>
        <w:t xml:space="preserve">Discussion on </w:t>
      </w:r>
      <w:r w:rsidR="00F541B7">
        <w:rPr>
          <w:rFonts w:ascii="Arial" w:eastAsia="SimSun" w:hAnsi="Arial"/>
          <w:b/>
          <w:sz w:val="24"/>
          <w:lang w:eastAsia="zh-CN"/>
        </w:rPr>
        <w:t>Known cell in FR2</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CD465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F541B7" w:rsidRPr="00F541B7">
        <w:rPr>
          <w:rFonts w:ascii="Arial" w:hAnsi="Arial" w:cs="Arial"/>
          <w:b/>
          <w:color w:val="000000"/>
          <w:sz w:val="24"/>
          <w:szCs w:val="24"/>
          <w:lang w:val="en-GB"/>
        </w:rPr>
        <w:t>6.10.7.2.2</w:t>
      </w:r>
      <w:r w:rsidR="00F541B7" w:rsidRPr="00F541B7">
        <w:rPr>
          <w:rFonts w:ascii="Arial" w:hAnsi="Arial" w:cs="Arial"/>
          <w:b/>
          <w:color w:val="000000"/>
          <w:sz w:val="24"/>
          <w:szCs w:val="24"/>
          <w:lang w:val="en-GB"/>
        </w:rPr>
        <w:tab/>
        <w:t xml:space="preserve">Definition of known cell </w:t>
      </w:r>
      <w:r w:rsidR="00802049" w:rsidRPr="00802049">
        <w:rPr>
          <w:rFonts w:ascii="Arial" w:hAnsi="Arial" w:cs="Arial"/>
          <w:b/>
          <w:color w:val="000000"/>
          <w:sz w:val="24"/>
          <w:szCs w:val="24"/>
        </w:rPr>
        <w:t>[NR_newRAT-Core]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5A0765">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A85B01">
      <w:r>
        <w:t xml:space="preserve">RAN4 has been discussing the definition for a known cell in FR2 for a few meetings now. In RAN4#90-Bis a WF </w:t>
      </w:r>
      <w:r w:rsidR="0037331D">
        <w:t xml:space="preserve">[1] </w:t>
      </w:r>
      <w:r>
        <w:t>was agreed with the following definition of known cell</w:t>
      </w:r>
    </w:p>
    <w:p w:rsidR="00397B46" w:rsidRPr="0037331D" w:rsidRDefault="008504C6" w:rsidP="00A85B01">
      <w:pPr>
        <w:numPr>
          <w:ilvl w:val="0"/>
          <w:numId w:val="12"/>
        </w:numPr>
        <w:rPr>
          <w:i/>
        </w:rPr>
      </w:pPr>
      <w:r w:rsidRPr="0037331D">
        <w:rPr>
          <w:i/>
          <w:lang w:val="en-GB"/>
        </w:rPr>
        <w:t>For the first SCell activation in FR2 bands, i</w:t>
      </w:r>
      <w:r w:rsidRPr="0037331D">
        <w:rPr>
          <w:i/>
        </w:rPr>
        <w:t>f UE reports the L3-RSRP with beam index within last [Xms] for a cell, and the active TCI is selected based on UE report, then that cell can be viewed as known cell</w:t>
      </w:r>
    </w:p>
    <w:p w:rsidR="00397B46" w:rsidRPr="0037331D" w:rsidRDefault="008504C6" w:rsidP="0037331D">
      <w:pPr>
        <w:numPr>
          <w:ilvl w:val="1"/>
          <w:numId w:val="12"/>
        </w:numPr>
        <w:rPr>
          <w:i/>
        </w:rPr>
      </w:pPr>
      <w:r w:rsidRPr="0037331D">
        <w:rPr>
          <w:i/>
        </w:rPr>
        <w:t>A NR cell in FR2 is said to be known if it meets the following conditions:</w:t>
      </w:r>
    </w:p>
    <w:p w:rsidR="00397B46" w:rsidRPr="0037331D" w:rsidRDefault="008504C6" w:rsidP="0037331D">
      <w:pPr>
        <w:numPr>
          <w:ilvl w:val="2"/>
          <w:numId w:val="12"/>
        </w:numPr>
        <w:rPr>
          <w:i/>
        </w:rPr>
      </w:pPr>
      <w:r w:rsidRPr="0037331D">
        <w:rPr>
          <w:i/>
        </w:rPr>
        <w:t>During the period equal to [X ms]:</w:t>
      </w:r>
    </w:p>
    <w:p w:rsidR="00397B46" w:rsidRPr="0037331D" w:rsidRDefault="008504C6" w:rsidP="0037331D">
      <w:pPr>
        <w:numPr>
          <w:ilvl w:val="3"/>
          <w:numId w:val="12"/>
        </w:numPr>
        <w:rPr>
          <w:i/>
        </w:rPr>
      </w:pPr>
      <w:r w:rsidRPr="0037331D">
        <w:rPr>
          <w:i/>
        </w:rPr>
        <w:t>the UE has sent a valid measurement report for the cell and</w:t>
      </w:r>
    </w:p>
    <w:p w:rsidR="00397B46" w:rsidRPr="0037331D" w:rsidRDefault="008504C6" w:rsidP="0037331D">
      <w:pPr>
        <w:numPr>
          <w:ilvl w:val="3"/>
          <w:numId w:val="12"/>
        </w:numPr>
        <w:rPr>
          <w:i/>
        </w:rPr>
      </w:pPr>
      <w:r w:rsidRPr="0037331D">
        <w:rPr>
          <w:i/>
        </w:rPr>
        <w:t>the cell remains detectable according to the cell identification conditions</w:t>
      </w:r>
    </w:p>
    <w:p w:rsidR="00397B46" w:rsidRPr="0037331D" w:rsidRDefault="008504C6" w:rsidP="0037331D">
      <w:pPr>
        <w:numPr>
          <w:ilvl w:val="2"/>
          <w:numId w:val="12"/>
        </w:numPr>
        <w:rPr>
          <w:i/>
        </w:rPr>
      </w:pPr>
      <w:r w:rsidRPr="0037331D">
        <w:rPr>
          <w:i/>
        </w:rPr>
        <w:t>The SSB measured during the period equal to [Y ms] also remains detectable during the SCell activation delay according to the cell identification conditions specified in section 9.2 and 9.3.</w:t>
      </w:r>
    </w:p>
    <w:p w:rsidR="00397B46" w:rsidRPr="0037331D" w:rsidRDefault="008504C6" w:rsidP="00A85B01">
      <w:pPr>
        <w:numPr>
          <w:ilvl w:val="3"/>
          <w:numId w:val="12"/>
        </w:numPr>
        <w:rPr>
          <w:i/>
        </w:rPr>
      </w:pPr>
      <w:r w:rsidRPr="0037331D">
        <w:rPr>
          <w:i/>
        </w:rPr>
        <w:t>FFS on X and Y values.</w:t>
      </w:r>
    </w:p>
    <w:p w:rsidR="00A85B01" w:rsidRDefault="0037331D">
      <w:r>
        <w:t>In this paper we provide our view on the value of X and Y</w:t>
      </w:r>
    </w:p>
    <w:p w:rsidR="00E15948" w:rsidRDefault="00E15948" w:rsidP="00E15948">
      <w:pPr>
        <w:pStyle w:val="Heading1"/>
      </w:pPr>
      <w:r>
        <w:t>Discussion</w:t>
      </w:r>
    </w:p>
    <w:p w:rsidR="0037331D" w:rsidRDefault="0037331D" w:rsidP="0048709C">
      <w:r>
        <w:t xml:space="preserve">The benefit of defining a known cell is faster activation times. This helps both the network in terms of its load management and the UE in terms of data speed, latency. If the cell activation takes too long the network has two options: either keep the scell always activated or </w:t>
      </w:r>
      <w:r w:rsidR="009A6783">
        <w:t xml:space="preserve">never use scell. Keeping the scell always activated has a huge power penalty for the UE and not using Scell would be a waste of resources. Thus, it is both in network and UE interest to have a good known cell definition and fast activation. </w:t>
      </w:r>
      <w:r>
        <w:t xml:space="preserve"> </w:t>
      </w:r>
    </w:p>
    <w:p w:rsidR="002E598F" w:rsidRDefault="009A6783" w:rsidP="00C71BEB">
      <w:r>
        <w:t xml:space="preserve">The typical way for scell activation to work is that the UE will be programmed with event triggered cell measurement reporting. Based on this report, the network can then activate cell. Note that how often the UE measures the cell, is still completely up to the UE. From specification perspective all it needs to </w:t>
      </w:r>
      <w:r>
        <w:lastRenderedPageBreak/>
        <w:t>do is meet that L3-RSRP delay and accuracy requirements. Thus, when the UE is in high mobility scenario it may want to measure more often to ensure that it can keep track of which of its own beams to use and which of gNodeB beams is the best beam. In low mobility/static scenarios, the UE can measure less often as the beams should not be changing.</w:t>
      </w:r>
      <w:r w:rsidR="00C71BEB">
        <w:t xml:space="preserve"> Thus, from a known cell definition perspective the FR1 and FR2 definitions should be similar. </w:t>
      </w:r>
      <w:r w:rsidR="00813620">
        <w:t xml:space="preserve">The only open question would be how many </w:t>
      </w:r>
      <w:r w:rsidR="00E9110F" w:rsidRPr="00D4421B">
        <w:t>measCycleSCell</w:t>
      </w:r>
      <w:r w:rsidR="00813620">
        <w:t xml:space="preserve"> or DRx Cycles ago the measurement report needs to be sent for cell to be known</w:t>
      </w:r>
      <w:r w:rsidR="00D4421B" w:rsidRPr="00D4421B">
        <w:rPr>
          <w:rFonts w:cstheme="minorHAnsi"/>
        </w:rPr>
        <w:t xml:space="preserve">. For the value of Y, the SSB </w:t>
      </w:r>
      <w:r w:rsidR="00D4421B">
        <w:rPr>
          <w:rFonts w:cstheme="minorHAnsi"/>
        </w:rPr>
        <w:t>reported in the measurement needs to remain detectable during this entire period of X and the cell activation delay.</w:t>
      </w:r>
      <w:r w:rsidR="00D4421B" w:rsidRPr="00D4421B">
        <w:rPr>
          <w:rFonts w:cstheme="minorHAnsi"/>
        </w:rPr>
        <w:t xml:space="preserve"> </w:t>
      </w:r>
    </w:p>
    <w:p w:rsidR="007D50A8" w:rsidRPr="00395961" w:rsidRDefault="005111E6" w:rsidP="007D50A8">
      <w:r w:rsidRPr="005111E6">
        <w:rPr>
          <w:b/>
        </w:rPr>
        <w:t xml:space="preserve">Proposal </w:t>
      </w:r>
      <w:r w:rsidR="00D4421B">
        <w:rPr>
          <w:b/>
        </w:rPr>
        <w:t>1</w:t>
      </w:r>
      <w:r>
        <w:t xml:space="preserve">: </w:t>
      </w:r>
      <w:r w:rsidR="007D50A8" w:rsidRPr="00395961">
        <w:t>A NR cell in FR2 is said to be known if it meets the following conditions:</w:t>
      </w:r>
    </w:p>
    <w:p w:rsidR="007D50A8" w:rsidRPr="00395961" w:rsidRDefault="007D50A8" w:rsidP="007D50A8">
      <w:pPr>
        <w:numPr>
          <w:ilvl w:val="1"/>
          <w:numId w:val="12"/>
        </w:numPr>
      </w:pPr>
      <w:r w:rsidRPr="00395961">
        <w:t xml:space="preserve">During the period equal to </w:t>
      </w:r>
      <w:r w:rsidR="00813620">
        <w:t>TBD*</w:t>
      </w:r>
      <w:r w:rsidR="00D4421B" w:rsidRPr="00D4421B">
        <w:t>max(measCycleSCell,  DRX cycles)</w:t>
      </w:r>
    </w:p>
    <w:p w:rsidR="007D50A8" w:rsidRPr="00395961" w:rsidRDefault="007D50A8" w:rsidP="007D50A8">
      <w:pPr>
        <w:numPr>
          <w:ilvl w:val="2"/>
          <w:numId w:val="12"/>
        </w:numPr>
      </w:pPr>
      <w:r w:rsidRPr="00395961">
        <w:t xml:space="preserve">the UE has sent a valid measurement report for the cell </w:t>
      </w:r>
      <w:bookmarkStart w:id="0" w:name="_GoBack"/>
      <w:bookmarkEnd w:id="0"/>
    </w:p>
    <w:p w:rsidR="007D50A8" w:rsidRPr="00395961" w:rsidRDefault="007D50A8" w:rsidP="00813620">
      <w:pPr>
        <w:numPr>
          <w:ilvl w:val="1"/>
          <w:numId w:val="12"/>
        </w:numPr>
      </w:pPr>
      <w:r w:rsidRPr="00395961">
        <w:t xml:space="preserve">The SSB measured </w:t>
      </w:r>
      <w:r w:rsidR="00D4421B">
        <w:t xml:space="preserve">during measurement report </w:t>
      </w:r>
      <w:r w:rsidRPr="00395961">
        <w:t xml:space="preserve">also remains detectable during </w:t>
      </w:r>
      <w:r w:rsidR="00D4421B">
        <w:t xml:space="preserve">the period </w:t>
      </w:r>
      <w:r w:rsidR="00813620">
        <w:t>TBD*</w:t>
      </w:r>
      <w:r w:rsidR="00D4421B" w:rsidRPr="00D4421B">
        <w:t>max(measCycleSCell,  DRX cycles)</w:t>
      </w:r>
      <w:r w:rsidR="00D4421B">
        <w:t xml:space="preserve"> and </w:t>
      </w:r>
      <w:r w:rsidRPr="00395961">
        <w:t>the SCell activation delay according to the cell identification conditions specified in section 9.2 and 9.3.</w:t>
      </w:r>
    </w:p>
    <w:p w:rsidR="00BC76D4" w:rsidRDefault="00BC76D4" w:rsidP="007D50A8"/>
    <w:p w:rsidR="006C4B0B" w:rsidRDefault="006C4B0B" w:rsidP="006C4B0B">
      <w:pPr>
        <w:pStyle w:val="Heading1"/>
      </w:pPr>
      <w:r>
        <w:t>Conclusions</w:t>
      </w:r>
    </w:p>
    <w:p w:rsidR="00D4421B" w:rsidRDefault="006F29A7" w:rsidP="00815012">
      <w:r>
        <w:t>In this contribution</w:t>
      </w:r>
      <w:r w:rsidR="007A1FD4">
        <w:t>,</w:t>
      </w:r>
      <w:r>
        <w:t xml:space="preserve"> we provide</w:t>
      </w:r>
      <w:r w:rsidR="007A1FD4">
        <w:t xml:space="preserve"> </w:t>
      </w:r>
      <w:r w:rsidR="004750D4">
        <w:t xml:space="preserve">a definition </w:t>
      </w:r>
      <w:r w:rsidR="007D04C9">
        <w:t>for known cell in FR2. We extend the definition of from FR1 by saying that the cell needs to be detectable using the same beam as was used to provide measurement.</w:t>
      </w:r>
    </w:p>
    <w:p w:rsidR="00D4421B" w:rsidRPr="00395961" w:rsidRDefault="00D4421B" w:rsidP="00D4421B">
      <w:r w:rsidRPr="005111E6">
        <w:rPr>
          <w:b/>
        </w:rPr>
        <w:t xml:space="preserve">Proposal </w:t>
      </w:r>
      <w:r>
        <w:rPr>
          <w:b/>
        </w:rPr>
        <w:t>1</w:t>
      </w:r>
      <w:r>
        <w:t xml:space="preserve">: </w:t>
      </w:r>
      <w:r w:rsidRPr="00395961">
        <w:t>A NR cell in FR2 is said to be known if it meets the following conditions:</w:t>
      </w:r>
    </w:p>
    <w:p w:rsidR="00D4421B" w:rsidRPr="00395961" w:rsidRDefault="00D4421B" w:rsidP="00D4421B">
      <w:pPr>
        <w:numPr>
          <w:ilvl w:val="1"/>
          <w:numId w:val="12"/>
        </w:numPr>
      </w:pPr>
      <w:r w:rsidRPr="00395961">
        <w:t xml:space="preserve">During the period equal to </w:t>
      </w:r>
      <w:r w:rsidR="00813620">
        <w:t>TBD*</w:t>
      </w:r>
      <w:r w:rsidRPr="00D4421B">
        <w:t>max(measCycleSCell,  DRX cycles)</w:t>
      </w:r>
    </w:p>
    <w:p w:rsidR="00D4421B" w:rsidRPr="00395961" w:rsidRDefault="00D4421B" w:rsidP="00A47E03">
      <w:pPr>
        <w:numPr>
          <w:ilvl w:val="2"/>
          <w:numId w:val="12"/>
        </w:numPr>
      </w:pPr>
      <w:r w:rsidRPr="00395961">
        <w:t xml:space="preserve">the UE has sent a valid measurement report for the cell </w:t>
      </w:r>
    </w:p>
    <w:p w:rsidR="00D4421B" w:rsidRPr="00395961" w:rsidRDefault="00D4421B" w:rsidP="00D4421B">
      <w:pPr>
        <w:numPr>
          <w:ilvl w:val="1"/>
          <w:numId w:val="12"/>
        </w:numPr>
      </w:pPr>
      <w:r w:rsidRPr="00395961">
        <w:t xml:space="preserve">The SSB measured </w:t>
      </w:r>
      <w:r>
        <w:t xml:space="preserve">during measurement report </w:t>
      </w:r>
      <w:r w:rsidRPr="00395961">
        <w:t xml:space="preserve">also remains detectable during </w:t>
      </w:r>
      <w:r>
        <w:t xml:space="preserve">the period </w:t>
      </w:r>
      <w:r w:rsidR="00813620">
        <w:t>TBD*</w:t>
      </w:r>
      <w:r w:rsidRPr="00D4421B">
        <w:t>max(measCycleSCell,  DRX cycles)</w:t>
      </w:r>
      <w:r>
        <w:t xml:space="preserve"> and </w:t>
      </w:r>
      <w:r w:rsidRPr="00395961">
        <w:t>the SCell activation delay according to the cell identification conditions specified in section 9.2 and 9.3.</w:t>
      </w:r>
    </w:p>
    <w:p w:rsidR="006C4B0B" w:rsidRDefault="007D04C9" w:rsidP="00815012">
      <w:r>
        <w:t xml:space="preserve"> </w:t>
      </w:r>
      <w:r w:rsidR="006F29A7">
        <w:t xml:space="preserve"> </w:t>
      </w:r>
    </w:p>
    <w:p w:rsidR="00D066AC" w:rsidRDefault="00D066AC" w:rsidP="00D066AC">
      <w:pPr>
        <w:pStyle w:val="Heading1"/>
      </w:pPr>
      <w:r>
        <w:t xml:space="preserve">References </w:t>
      </w:r>
    </w:p>
    <w:p w:rsidR="00D066AC" w:rsidRPr="00D066AC" w:rsidRDefault="00D066AC" w:rsidP="00D066AC">
      <w:r>
        <w:t xml:space="preserve">[1] </w:t>
      </w:r>
      <w:r w:rsidRPr="00D066AC">
        <w:rPr>
          <w:bCs/>
        </w:rPr>
        <w:t>R4-1</w:t>
      </w:r>
      <w:r w:rsidR="0037331D">
        <w:rPr>
          <w:bCs/>
        </w:rPr>
        <w:t>904696</w:t>
      </w:r>
      <w:r>
        <w:rPr>
          <w:bCs/>
        </w:rPr>
        <w:t xml:space="preserve">, </w:t>
      </w:r>
      <w:r w:rsidR="0037331D" w:rsidRPr="0037331D">
        <w:rPr>
          <w:bCs/>
        </w:rPr>
        <w:t>WF on Scell Activation Delay in FR2</w:t>
      </w:r>
      <w:r w:rsidR="0037331D">
        <w:rPr>
          <w:bCs/>
        </w:rPr>
        <w:t>, RAN4#90-Bis</w:t>
      </w:r>
    </w:p>
    <w:p w:rsidR="00D066AC" w:rsidRDefault="00D066AC" w:rsidP="00143214"/>
    <w:p w:rsidR="00D066AC" w:rsidRPr="00143214" w:rsidRDefault="00D066AC" w:rsidP="00143214"/>
    <w:sectPr w:rsidR="00D066AC" w:rsidRPr="001432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765" w:rsidRDefault="005A0765" w:rsidP="00F541B7">
      <w:pPr>
        <w:spacing w:after="0" w:line="240" w:lineRule="auto"/>
      </w:pPr>
      <w:r>
        <w:separator/>
      </w:r>
    </w:p>
  </w:endnote>
  <w:endnote w:type="continuationSeparator" w:id="0">
    <w:p w:rsidR="005A0765" w:rsidRDefault="005A0765" w:rsidP="00F54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765" w:rsidRDefault="005A0765" w:rsidP="00F541B7">
      <w:pPr>
        <w:spacing w:after="0" w:line="240" w:lineRule="auto"/>
      </w:pPr>
      <w:r>
        <w:separator/>
      </w:r>
    </w:p>
  </w:footnote>
  <w:footnote w:type="continuationSeparator" w:id="0">
    <w:p w:rsidR="005A0765" w:rsidRDefault="005A0765" w:rsidP="00F541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A5417"/>
    <w:multiLevelType w:val="hybridMultilevel"/>
    <w:tmpl w:val="8E086094"/>
    <w:lvl w:ilvl="0" w:tplc="77545DE4">
      <w:start w:val="1"/>
      <w:numFmt w:val="bullet"/>
      <w:lvlText w:val="•"/>
      <w:lvlJc w:val="left"/>
      <w:pPr>
        <w:tabs>
          <w:tab w:val="num" w:pos="720"/>
        </w:tabs>
        <w:ind w:left="720" w:hanging="360"/>
      </w:pPr>
      <w:rPr>
        <w:rFonts w:ascii="Arial" w:hAnsi="Arial" w:hint="default"/>
      </w:rPr>
    </w:lvl>
    <w:lvl w:ilvl="1" w:tplc="8CF61D06">
      <w:start w:val="1"/>
      <w:numFmt w:val="bullet"/>
      <w:lvlText w:val="•"/>
      <w:lvlJc w:val="left"/>
      <w:pPr>
        <w:tabs>
          <w:tab w:val="num" w:pos="1440"/>
        </w:tabs>
        <w:ind w:left="1440" w:hanging="360"/>
      </w:pPr>
      <w:rPr>
        <w:rFonts w:ascii="Arial" w:hAnsi="Arial" w:hint="default"/>
      </w:rPr>
    </w:lvl>
    <w:lvl w:ilvl="2" w:tplc="C1C63DCC">
      <w:start w:val="341"/>
      <w:numFmt w:val="bullet"/>
      <w:lvlText w:val="•"/>
      <w:lvlJc w:val="left"/>
      <w:pPr>
        <w:tabs>
          <w:tab w:val="num" w:pos="2160"/>
        </w:tabs>
        <w:ind w:left="2160" w:hanging="360"/>
      </w:pPr>
      <w:rPr>
        <w:rFonts w:ascii="Arial" w:hAnsi="Arial" w:hint="default"/>
      </w:rPr>
    </w:lvl>
    <w:lvl w:ilvl="3" w:tplc="2A706B4C">
      <w:start w:val="341"/>
      <w:numFmt w:val="bullet"/>
      <w:lvlText w:val="•"/>
      <w:lvlJc w:val="left"/>
      <w:pPr>
        <w:tabs>
          <w:tab w:val="num" w:pos="2880"/>
        </w:tabs>
        <w:ind w:left="2880" w:hanging="360"/>
      </w:pPr>
      <w:rPr>
        <w:rFonts w:ascii="Arial" w:hAnsi="Arial" w:hint="default"/>
      </w:rPr>
    </w:lvl>
    <w:lvl w:ilvl="4" w:tplc="B18CBCC4">
      <w:start w:val="341"/>
      <w:numFmt w:val="bullet"/>
      <w:lvlText w:val="•"/>
      <w:lvlJc w:val="left"/>
      <w:pPr>
        <w:tabs>
          <w:tab w:val="num" w:pos="3600"/>
        </w:tabs>
        <w:ind w:left="3600" w:hanging="360"/>
      </w:pPr>
      <w:rPr>
        <w:rFonts w:ascii="Arial" w:hAnsi="Arial" w:hint="default"/>
      </w:rPr>
    </w:lvl>
    <w:lvl w:ilvl="5" w:tplc="47A600CC" w:tentative="1">
      <w:start w:val="1"/>
      <w:numFmt w:val="bullet"/>
      <w:lvlText w:val="•"/>
      <w:lvlJc w:val="left"/>
      <w:pPr>
        <w:tabs>
          <w:tab w:val="num" w:pos="4320"/>
        </w:tabs>
        <w:ind w:left="4320" w:hanging="360"/>
      </w:pPr>
      <w:rPr>
        <w:rFonts w:ascii="Arial" w:hAnsi="Arial" w:hint="default"/>
      </w:rPr>
    </w:lvl>
    <w:lvl w:ilvl="6" w:tplc="0ACEC58E" w:tentative="1">
      <w:start w:val="1"/>
      <w:numFmt w:val="bullet"/>
      <w:lvlText w:val="•"/>
      <w:lvlJc w:val="left"/>
      <w:pPr>
        <w:tabs>
          <w:tab w:val="num" w:pos="5040"/>
        </w:tabs>
        <w:ind w:left="5040" w:hanging="360"/>
      </w:pPr>
      <w:rPr>
        <w:rFonts w:ascii="Arial" w:hAnsi="Arial" w:hint="default"/>
      </w:rPr>
    </w:lvl>
    <w:lvl w:ilvl="7" w:tplc="66E6196E" w:tentative="1">
      <w:start w:val="1"/>
      <w:numFmt w:val="bullet"/>
      <w:lvlText w:val="•"/>
      <w:lvlJc w:val="left"/>
      <w:pPr>
        <w:tabs>
          <w:tab w:val="num" w:pos="5760"/>
        </w:tabs>
        <w:ind w:left="5760" w:hanging="360"/>
      </w:pPr>
      <w:rPr>
        <w:rFonts w:ascii="Arial" w:hAnsi="Arial" w:hint="default"/>
      </w:rPr>
    </w:lvl>
    <w:lvl w:ilvl="8" w:tplc="00B22B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010"/>
    <w:rsid w:val="000021D8"/>
    <w:rsid w:val="000531F3"/>
    <w:rsid w:val="0006675E"/>
    <w:rsid w:val="000E1871"/>
    <w:rsid w:val="00143214"/>
    <w:rsid w:val="0015437A"/>
    <w:rsid w:val="00176D10"/>
    <w:rsid w:val="001B0D58"/>
    <w:rsid w:val="001C5ADA"/>
    <w:rsid w:val="001D38A4"/>
    <w:rsid w:val="002371D4"/>
    <w:rsid w:val="002432D9"/>
    <w:rsid w:val="00282DCF"/>
    <w:rsid w:val="002B2AA3"/>
    <w:rsid w:val="002C3F45"/>
    <w:rsid w:val="002E598F"/>
    <w:rsid w:val="0037331D"/>
    <w:rsid w:val="0039562A"/>
    <w:rsid w:val="00395961"/>
    <w:rsid w:val="00397B46"/>
    <w:rsid w:val="003B459E"/>
    <w:rsid w:val="003D04DF"/>
    <w:rsid w:val="00403DF2"/>
    <w:rsid w:val="0041363D"/>
    <w:rsid w:val="004750D4"/>
    <w:rsid w:val="004763F3"/>
    <w:rsid w:val="0048709C"/>
    <w:rsid w:val="004B0F62"/>
    <w:rsid w:val="004B1696"/>
    <w:rsid w:val="004C3E37"/>
    <w:rsid w:val="004D3623"/>
    <w:rsid w:val="005111E6"/>
    <w:rsid w:val="00544085"/>
    <w:rsid w:val="005A0765"/>
    <w:rsid w:val="005C30B2"/>
    <w:rsid w:val="005E74BD"/>
    <w:rsid w:val="00617320"/>
    <w:rsid w:val="00651905"/>
    <w:rsid w:val="00654B98"/>
    <w:rsid w:val="00654EC3"/>
    <w:rsid w:val="0066180C"/>
    <w:rsid w:val="006729A9"/>
    <w:rsid w:val="00684B16"/>
    <w:rsid w:val="006C4B0B"/>
    <w:rsid w:val="006C5AB4"/>
    <w:rsid w:val="006E3692"/>
    <w:rsid w:val="006F0C91"/>
    <w:rsid w:val="006F29A7"/>
    <w:rsid w:val="006F472F"/>
    <w:rsid w:val="007377BF"/>
    <w:rsid w:val="007A1FD4"/>
    <w:rsid w:val="007C0F62"/>
    <w:rsid w:val="007D04C9"/>
    <w:rsid w:val="007D50A8"/>
    <w:rsid w:val="007E7820"/>
    <w:rsid w:val="00802049"/>
    <w:rsid w:val="00813620"/>
    <w:rsid w:val="00815012"/>
    <w:rsid w:val="008504C6"/>
    <w:rsid w:val="008714CD"/>
    <w:rsid w:val="00883B2E"/>
    <w:rsid w:val="008A2940"/>
    <w:rsid w:val="008A5117"/>
    <w:rsid w:val="008D4761"/>
    <w:rsid w:val="008E4F61"/>
    <w:rsid w:val="008F3395"/>
    <w:rsid w:val="008F47A5"/>
    <w:rsid w:val="008F7935"/>
    <w:rsid w:val="00917408"/>
    <w:rsid w:val="00943B69"/>
    <w:rsid w:val="00945C8B"/>
    <w:rsid w:val="00951BBA"/>
    <w:rsid w:val="00954552"/>
    <w:rsid w:val="00994E5F"/>
    <w:rsid w:val="009A51CF"/>
    <w:rsid w:val="009A6783"/>
    <w:rsid w:val="009D66DD"/>
    <w:rsid w:val="009F2370"/>
    <w:rsid w:val="009F7788"/>
    <w:rsid w:val="009F7825"/>
    <w:rsid w:val="00A30DFD"/>
    <w:rsid w:val="00A42D45"/>
    <w:rsid w:val="00A453AA"/>
    <w:rsid w:val="00A47E03"/>
    <w:rsid w:val="00A71EF9"/>
    <w:rsid w:val="00A85B01"/>
    <w:rsid w:val="00AB3A7C"/>
    <w:rsid w:val="00AC1315"/>
    <w:rsid w:val="00AE7108"/>
    <w:rsid w:val="00B22091"/>
    <w:rsid w:val="00B837C8"/>
    <w:rsid w:val="00B94A14"/>
    <w:rsid w:val="00BB4B98"/>
    <w:rsid w:val="00BC480F"/>
    <w:rsid w:val="00BC76D4"/>
    <w:rsid w:val="00C2177A"/>
    <w:rsid w:val="00C45A63"/>
    <w:rsid w:val="00C56E72"/>
    <w:rsid w:val="00C577F8"/>
    <w:rsid w:val="00C71BEB"/>
    <w:rsid w:val="00C83089"/>
    <w:rsid w:val="00CB062C"/>
    <w:rsid w:val="00CB78AA"/>
    <w:rsid w:val="00CD4656"/>
    <w:rsid w:val="00CE0CF3"/>
    <w:rsid w:val="00D066AC"/>
    <w:rsid w:val="00D17F4D"/>
    <w:rsid w:val="00D24F78"/>
    <w:rsid w:val="00D275DA"/>
    <w:rsid w:val="00D34BF5"/>
    <w:rsid w:val="00D4421B"/>
    <w:rsid w:val="00D44CC4"/>
    <w:rsid w:val="00DA5B09"/>
    <w:rsid w:val="00DC1F94"/>
    <w:rsid w:val="00DC7E8E"/>
    <w:rsid w:val="00DF5F51"/>
    <w:rsid w:val="00E15948"/>
    <w:rsid w:val="00E423D2"/>
    <w:rsid w:val="00E57170"/>
    <w:rsid w:val="00E61FC2"/>
    <w:rsid w:val="00E71595"/>
    <w:rsid w:val="00E9110F"/>
    <w:rsid w:val="00EA1621"/>
    <w:rsid w:val="00EC0FE2"/>
    <w:rsid w:val="00ED3118"/>
    <w:rsid w:val="00EE6D67"/>
    <w:rsid w:val="00F3272A"/>
    <w:rsid w:val="00F45595"/>
    <w:rsid w:val="00F541B7"/>
    <w:rsid w:val="00F9122F"/>
    <w:rsid w:val="00FB1438"/>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6244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091897044">
      <w:bodyDiv w:val="1"/>
      <w:marLeft w:val="0"/>
      <w:marRight w:val="0"/>
      <w:marTop w:val="0"/>
      <w:marBottom w:val="0"/>
      <w:divBdr>
        <w:top w:val="none" w:sz="0" w:space="0" w:color="auto"/>
        <w:left w:val="none" w:sz="0" w:space="0" w:color="auto"/>
        <w:bottom w:val="none" w:sz="0" w:space="0" w:color="auto"/>
        <w:right w:val="none" w:sz="0" w:space="0" w:color="auto"/>
      </w:divBdr>
      <w:divsChild>
        <w:div w:id="1491672703">
          <w:marLeft w:val="1080"/>
          <w:marRight w:val="0"/>
          <w:marTop w:val="100"/>
          <w:marBottom w:val="0"/>
          <w:divBdr>
            <w:top w:val="none" w:sz="0" w:space="0" w:color="auto"/>
            <w:left w:val="none" w:sz="0" w:space="0" w:color="auto"/>
            <w:bottom w:val="none" w:sz="0" w:space="0" w:color="auto"/>
            <w:right w:val="none" w:sz="0" w:space="0" w:color="auto"/>
          </w:divBdr>
        </w:div>
        <w:div w:id="2077849161">
          <w:marLeft w:val="1800"/>
          <w:marRight w:val="0"/>
          <w:marTop w:val="100"/>
          <w:marBottom w:val="0"/>
          <w:divBdr>
            <w:top w:val="none" w:sz="0" w:space="0" w:color="auto"/>
            <w:left w:val="none" w:sz="0" w:space="0" w:color="auto"/>
            <w:bottom w:val="none" w:sz="0" w:space="0" w:color="auto"/>
            <w:right w:val="none" w:sz="0" w:space="0" w:color="auto"/>
          </w:divBdr>
        </w:div>
        <w:div w:id="620763014">
          <w:marLeft w:val="2520"/>
          <w:marRight w:val="0"/>
          <w:marTop w:val="100"/>
          <w:marBottom w:val="0"/>
          <w:divBdr>
            <w:top w:val="none" w:sz="0" w:space="0" w:color="auto"/>
            <w:left w:val="none" w:sz="0" w:space="0" w:color="auto"/>
            <w:bottom w:val="none" w:sz="0" w:space="0" w:color="auto"/>
            <w:right w:val="none" w:sz="0" w:space="0" w:color="auto"/>
          </w:divBdr>
        </w:div>
        <w:div w:id="1387945490">
          <w:marLeft w:val="3240"/>
          <w:marRight w:val="0"/>
          <w:marTop w:val="100"/>
          <w:marBottom w:val="0"/>
          <w:divBdr>
            <w:top w:val="none" w:sz="0" w:space="0" w:color="auto"/>
            <w:left w:val="none" w:sz="0" w:space="0" w:color="auto"/>
            <w:bottom w:val="none" w:sz="0" w:space="0" w:color="auto"/>
            <w:right w:val="none" w:sz="0" w:space="0" w:color="auto"/>
          </w:divBdr>
        </w:div>
        <w:div w:id="1813251440">
          <w:marLeft w:val="3240"/>
          <w:marRight w:val="0"/>
          <w:marTop w:val="100"/>
          <w:marBottom w:val="0"/>
          <w:divBdr>
            <w:top w:val="none" w:sz="0" w:space="0" w:color="auto"/>
            <w:left w:val="none" w:sz="0" w:space="0" w:color="auto"/>
            <w:bottom w:val="none" w:sz="0" w:space="0" w:color="auto"/>
            <w:right w:val="none" w:sz="0" w:space="0" w:color="auto"/>
          </w:divBdr>
        </w:div>
        <w:div w:id="30152822">
          <w:marLeft w:val="2520"/>
          <w:marRight w:val="0"/>
          <w:marTop w:val="100"/>
          <w:marBottom w:val="0"/>
          <w:divBdr>
            <w:top w:val="none" w:sz="0" w:space="0" w:color="auto"/>
            <w:left w:val="none" w:sz="0" w:space="0" w:color="auto"/>
            <w:bottom w:val="none" w:sz="0" w:space="0" w:color="auto"/>
            <w:right w:val="none" w:sz="0" w:space="0" w:color="auto"/>
          </w:divBdr>
        </w:div>
        <w:div w:id="1375739724">
          <w:marLeft w:val="2520"/>
          <w:marRight w:val="0"/>
          <w:marTop w:val="100"/>
          <w:marBottom w:val="0"/>
          <w:divBdr>
            <w:top w:val="none" w:sz="0" w:space="0" w:color="auto"/>
            <w:left w:val="none" w:sz="0" w:space="0" w:color="auto"/>
            <w:bottom w:val="none" w:sz="0" w:space="0" w:color="auto"/>
            <w:right w:val="none" w:sz="0" w:space="0" w:color="auto"/>
          </w:divBdr>
        </w:div>
      </w:divsChild>
    </w:div>
    <w:div w:id="176700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19</cp:revision>
  <dcterms:created xsi:type="dcterms:W3CDTF">2019-02-13T22:10:00Z</dcterms:created>
  <dcterms:modified xsi:type="dcterms:W3CDTF">2019-05-03T21:25:00Z</dcterms:modified>
</cp:coreProperties>
</file>